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2c5e6d1b64f1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31091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grada Rijeke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1.144.920,57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1.479.699,82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1.087.142,75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1.434.555,25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57.777,82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45.144,57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100.606,37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93.024,81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100.606,37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93.024,81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42.828,55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47.880,24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B  I  L  J  E  Š  K  E    uz godišnja financijska izviješća   za razdoblje od 1. siječnja do 31. prosinca 2025.  godine    Muzej grada Rijeke je javna ustanova u kulturi, čiji je osnivač grad Rijeka.   Djelatnost Muzeja obuhvaća: 1. skupljanje, čuvanje i istraživanje civilizacijskih i kulturnih dobara, te njihovu stručnu i znanstvenu obradu i sistematizaciju u zbirke predmeta iz povijesti grada Rijeke i njegove okolice, kulturne povijesti, političke i gospodarske povijesti, te znanosti i tehnologije 2. trajno zaštićivanje muzejske građe, muzejske dokumentacije, muzejskih lokaliteta i nalazišta, te njihovo posredno i neposredno predočavanje javnosti putem stalnih i povremenih izložbi 3. objavljivanje podataka i spoznaja o muzejskoj građi i muzejskoj dokumentaciji putem stručnih, znanstvenih i drugih obavijesnih sredstava 4. pripremanje i organiziranje izložbi iz drugih dijelova nacionalne i opće kulturne baštine, 5. organiziranje predavanja, tribina, seminara i tečajeva 6. izdavanje monografija, kataloga, knjiga i ostalih stručnih publikacija 7. organiziranje edukativnih programa  vezanih uz djelatnost Muzeja 8. prodaja na malo vlastitih izdanja i proizvoda koji promoviraju djelatnost  Muzeja  Djelatnost se obavlja na području grada Rijeke, ali i na području cijele Hrvatske i u inozemstvu. Posjetioci mogu pogledati izložbe tijekom radnog vremena Muzeja, a moguće je i organizirati razgledavanje izložbe uz stručno vodstvo.  Muzej grada Rijeke od studenoga 2020. ima i stalni postav u Palači šećera (upravna zgrada Povlaštenog tršćansko-riječkog trgovačkog društva iz 18. stoljeća) te bitno mijenja i svoj stručni i – financijski profil.   Najvažnije zakonske i druge osnove na temelju kojih posluje Muzej grada: 1. Zakon o muzejima (NN 61/18, 98/19 i 114/22)  2. Zakon o ustanovama (NN 76/93, 29/97, 47/99, 35/08 , 127/19 i 151/22) 3. Zakon o kulturnim vijećima i financiranju javnih potreba u kulturi (NN 83/2022) 4. Zakon o zaštiti i očuvanju kulturnih dobara (NN 69/99, 151/03, 157/03, 100/04,  87/09, 88/10, 61/11, 25/12, 136/12, 157/13, 152/14 , 98/15, 44/17, 90/18, 32/20, 62/20, 117/21 i 114/22) 5. Pravilnik o sadržaju i načinu vođenja dokumentacije o muzejskoj građi i muzejskoj djelatnosti te načinu ostvarivanja uvida u muzejsku građu i dokumentaciju (NN 21/2023)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1.144.920,57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1.479.699,82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6 Prihodi poslovanja za razdoblje od 01.01.2025. – 31.12.2025. iznose 1.479.699,82 eur i povećani su za 29,20 %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37.735,17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</w:t>
            </w:r>
          </w:p>
        </w:tc>
      </w:tr>
    </w:tbl>
    <w:p>
      <w:pPr>
        <w:spacing w:before="0" w:after="0"/>
      </w:pPr>
    </w:p>
    <w:p>
      <w:r>
        <w:t xml:space="preserve">63 Pomoći iz inozemstva i od subjekata unutar općeg proračuna iznose 37.735,17 eur za 2025. godinu i smanjeni su za 33,6 % za isto razdoblje u odnosu za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45.134,99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52.385,65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6526 Ostali nespomenuti prihodi ( prihodi od ulaznica ) iznose 52.385,65 eur i koji su povećani za 16,1 %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68.295,76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66 Prihodi od prodaje proizvoda i robe te pruženih usluga iznose 68.295,76 eur za 2025. godinu i povećani su za 25,5 % za isto razdoblje u odnosu za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988.557,51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1.321.283,24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r>
        <w:t xml:space="preserve">67 Prihodi iz nadležnog proračuna ostvareni su u iznosu 1.321.283,24 eur i povećani  su za 33,7 %.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1.087.142,75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1.434.555,25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</w:tbl>
    <w:p>
      <w:pPr>
        <w:spacing w:before="0" w:after="0"/>
      </w:pPr>
    </w:p>
    <w:p>
      <w:r>
        <w:t xml:space="preserve">3 Rashodi poslovanja iznose 1.434.555,25 eur i povećani su 32 %.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569.542,00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852.133,62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149,6</w:t>
            </w:r>
          </w:p>
        </w:tc>
      </w:tr>
    </w:tbl>
    <w:p>
      <w:pPr>
        <w:spacing w:before="0" w:after="0"/>
      </w:pPr>
    </w:p>
    <w:p>
      <w:r>
        <w:t xml:space="preserve">31 Rashodi poslovanja za zaposlene povećani su za 852.133,62 eur i povećani su za 49,6 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517.137,14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581.752,19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32 Materijalni rashodi iznose 581.752,19 eur i povećani su za 12,5%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</w:t>
            </w:r>
          </w:p>
        </w:tc>
      </w:tr>
    </w:tbl>
    <w:p>
      <w:pPr>
        <w:spacing w:before="0" w:after="0"/>
      </w:pPr>
    </w:p>
    <w:p>
      <w:r>
        <w:t xml:space="preserve">34 Financijski rashodi su povećani za 44,4 %  i iznose 669,44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100.606,37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93.024,81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r>
        <w:t xml:space="preserve">4 Rashodi za nabavu nefinancijske imovine iznose 93.024,81 eur i manji su za 7,5 %.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42.828,55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47.880,24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 Ukupan manjak prihoda iznosi 47.880,24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28.684,62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preneseni 28.684,62 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Prosječan broj zaposlenih je 36 i porastao je za 50 %.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1.219.642,98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1.374.112,13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Imovina stanje na 31.12.2025. iznosi 1.374.082,33 i povećala se za 12,7 %.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1.219.642,98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1.374.112,13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OBVEZE I VLASTITI IZVORI (šifre 2+9) iznose 1.374.082,33 i povećane su za 12,7 %.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je 0,00.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269.817,30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iznose 269.817,30.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je predan ali muzej nema ulaganje iz EU.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36cbc639d74faa" /></Relationships>
</file>