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4418a4647475a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31091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Muzej grada Rijeke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698.482,54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801.341,13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589.431,57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602.028,57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102,1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109.050,97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199.312,56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182,8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4.245,00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8.965,40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211,2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4.245,00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8.965,40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211,2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104.805,97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190.347,16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181,6</w:t>
            </w:r>
          </w:p>
        </w:tc>
      </w:tr>
    </w:tbl>
    <w:p>
      <w:pPr>
        <w:spacing w:before="0" w:after="0"/>
      </w:pPr>
    </w:p>
    <w:p>
      <w:r>
        <w:t xml:space="preserve">Muzej grada Rijeke je javna ustanova u kulturi, čiji je osnivač grad Rijeka. </w:t>
      </w:r>
    </w:p>
    <w:p>
      <w:r>
        <w:t xml:space="preserve"> </w:t>
      </w:r>
    </w:p>
    <w:p>
      <w:r>
        <w:t xml:space="preserve">Djelatnost Muzeja obuhvaća:</w:t>
      </w:r>
    </w:p>
    <w:p>
      <w:r>
        <w:t xml:space="preserve"> </w:t>
      </w:r>
    </w:p>
    <w:p>
      <w:r>
        <w:t xml:space="preserve">1.      prikupljanje muzejske građe i muzejske dokumentacije sukladno svojoj misiji i politici skupljanja u zbirke predmeta iz povijesti grada Rijeke i njegove okolice, kulturne povijesti, političke i gospodarske povijesti te znanosti i tehnologije</w:t>
      </w:r>
    </w:p>
    <w:p>
      <w:r>
        <w:t xml:space="preserve">2.      čuvanje muzejskih predmeta u odgovarajućim uvjetima te zaštitu cjelokupne muzejske građe i muzejske dokumentacije u svrhu obrazovanja, proučavanja i uživanja u skladu s propisima o zaštiti i očuvanju kulturnih dobara</w:t>
      </w:r>
    </w:p>
    <w:p>
      <w:r>
        <w:t xml:space="preserve">3.      vođenje propisane muzejske dokumentacije o muzejskim predmetima, zbirkama i aktivnostima Muzeja</w:t>
      </w:r>
    </w:p>
    <w:p>
      <w:r>
        <w:t xml:space="preserve">4.      organiziranje stalnih i povremenih izložbi</w:t>
      </w:r>
    </w:p>
    <w:p>
      <w:r>
        <w:t xml:space="preserve">5.      organiziranje istraživanja, izdavačke djelatnosti, predavanja, konferencija i stručnih skupova te organiziranje edukativnih aktivnosti i radionica</w:t>
      </w:r>
    </w:p>
    <w:p>
      <w:r>
        <w:t xml:space="preserve">6.      podržavanje i organiziranje umjetničkih i kulturnih događanja u okviru svoga djelokruga</w:t>
      </w:r>
    </w:p>
    <w:p>
      <w:r>
        <w:t xml:space="preserve">7.      osiguravanje da poslove upravljanja muzejskom zbirkom obavljaju stručni muzejski djelatnici sukladno standardima</w:t>
      </w:r>
    </w:p>
    <w:p>
      <w:r>
        <w:t xml:space="preserve">8.      osiguravanje dostupnosti zbirki u obrazovne, stručne i znanstvene svrhe</w:t>
      </w:r>
    </w:p>
    <w:p>
      <w:r>
        <w:t xml:space="preserve">9.      osiguravanje prihvatljivog okruženja za javnost i dostupnost građe</w:t>
      </w:r>
    </w:p>
    <w:p>
      <w:r>
        <w:t xml:space="preserve">10.  provođenje digitalizacije muzejske građe</w:t>
      </w:r>
    </w:p>
    <w:p>
      <w:r>
        <w:t xml:space="preserve">11.  obavljanje revizije muzejske građe u Muzeju i dostavljanje o tome izvješća ministarstvu nadležnom za poslove kulture i osnivaču</w:t>
      </w:r>
    </w:p>
    <w:p>
      <w:r>
        <w:t xml:space="preserve">12.  obavljanje procjene povijesne, znanstvene, umjetničke i tržišne vrijednosti muzejske građe za potrebe upravljanja imovinom, za osiguranje i otkup</w:t>
      </w:r>
    </w:p>
    <w:p>
      <w:r>
        <w:t xml:space="preserve">13.  izradu stručnih mišljenja, vještačenja i elaborata o muzejskom predmetu, građi, zbirci o kojoj skrbi i drugim kulturnim dobrima</w:t>
      </w:r>
    </w:p>
    <w:p>
      <w:r>
        <w:t xml:space="preserve">14.  organiziranje izrade i prodaje suvenira i predmeta te izdavanja i prodaje publikacija tematski vezanih uz fundus i program Muzeja</w:t>
      </w:r>
    </w:p>
    <w:p>
      <w:r>
        <w:t xml:space="preserve">15.  obavljanje drugih djelatnosti sukladno Zakonu o muzejima i posebnom zakonu</w:t>
      </w:r>
    </w:p>
    <w:p>
      <w:r>
        <w:t xml:space="preserve">16.  organiziranje izrade i prodaje suvenira i predmeta vezanih uz fundus i program Muzeja te prodaje svih publikacija, kataloga, knjiga, časopisa, plakata, grafika u vlastitom izdanju ili izdanju drugih muzejskih ustanova i nakladnika vezanih uz muzejsku građu i muzejsku djelatnost, kulturu i zaštitu kulturne i prirodne baštine </w:t>
      </w:r>
    </w:p>
    <w:p>
      <w:r>
        <w:t xml:space="preserve"> </w:t>
      </w:r>
    </w:p>
    <w:p>
      <w:r>
        <w:t xml:space="preserve">Djelatnost se obavlja na području grada Rijeke, ali i na području cijele Hrvatske i u inozemstvu. Posjetioci mogu pogledati izložbe tijekom radnog vremena Muzeja, a moguće je i organizirati razgledavanje izložbe uz stručno vodstvo.</w:t>
      </w:r>
    </w:p>
    <w:p>
      <w:r>
        <w:t xml:space="preserve"> </w:t>
      </w:r>
    </w:p>
    <w:p>
      <w:r>
        <w:t xml:space="preserve">Muzej grada Rijeke od studenoga 2020. ima i stalni postav u Palači šećera (upravna zgrada Povlaštenog tršćansko-riječkog trgovačkog društva iz 18. stoljeća) te bitno mijenja i svoj stručni i – financijski profil. </w:t>
      </w:r>
    </w:p>
    <w:p>
      <w:r>
        <w:t xml:space="preserve"> </w:t>
      </w:r>
    </w:p>
    <w:p>
      <w:r>
        <w:t xml:space="preserve">Najvažnije zakonske i druge osnove na temelju kojih posluje Muzej grada: 1. Zakon o muzejima (NN 61/18, 98/19, 114/22 i 36/24)  2. Zakon o ustanovama (NN 76/93, 29/97, 47/99, 35/08 , 127/19 i 151/22) 3. Zakon o kulturnim vijećima i financiranju javnih potreba u kulturi (NN 83/2022) 4. Zakon o zaštiti i očuvanju kulturnih dobara (NN 69/99, 151/03, 157/03, 100/04,  87/09, 88/10, 61/11, 25/12, 136/12, 157/13, 152/14 , 98/15, 44/17, 90/18, 32/20, 62/20, 117/21 i 114/22, NN 145/24, 151/25) 5. Pravilnik o sadržaju i načinu vođenja dokumentacije o muzejskoj građi i muzejskoj djelatnosti te načinu ostvarivanja uvida u muzejsku građu i dokumentaciju (NN 21/2023)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698.482,54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801.341,13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114,7</w:t>
            </w:r>
          </w:p>
        </w:tc>
      </w:tr>
    </w:tbl>
    <w:p>
      <w:pPr>
        <w:spacing w:before="0" w:after="0"/>
      </w:pPr>
    </w:p>
    <w:p>
      <w:r>
        <w:t xml:space="preserve">6 Prihodi poslovanja za razdoblje od 01.01.2026. – 30.06.2026. iznose 801.341,13 eur i povećani su za 14,7 % u odnosu na isto razdoblje prethodne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13.909,31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15.071,89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108,4</w:t>
            </w:r>
          </w:p>
        </w:tc>
      </w:tr>
    </w:tbl>
    <w:p>
      <w:pPr>
        <w:spacing w:before="0" w:after="0"/>
      </w:pPr>
    </w:p>
    <w:p>
      <w:r>
        <w:t xml:space="preserve">66 Prihodi od prodaje proizvoda i robe te pruženih usluga iznose 15.071,89 eur za 2026. godinu i povećani su za 8,4 % za isto razdoblje u odnosu za 2025. godinu.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i od HZZO-a na temelju ugovornih obveza (šifre 671+673)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632.638,58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750.906,24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118,7</w:t>
            </w:r>
          </w:p>
        </w:tc>
      </w:tr>
    </w:tbl>
    <w:p>
      <w:pPr>
        <w:spacing w:before="0" w:after="0"/>
      </w:pPr>
    </w:p>
    <w:p>
      <w:r>
        <w:t xml:space="preserve">67 Prihodi iz nadležnog proračuna ostvareni su u iznosu 750.906,24 eur i povećani  su za 18,7 %.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589.431,57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602.028,57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102,1</w:t>
            </w:r>
          </w:p>
        </w:tc>
      </w:tr>
    </w:tbl>
    <w:p>
      <w:pPr>
        <w:spacing w:before="0" w:after="0"/>
      </w:pPr>
    </w:p>
    <w:p>
      <w:r>
        <w:t xml:space="preserve">3 Rashodi poslovanja iznose 602.028,57 eur i povećani su 2,1 %.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387.320,56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457.443,46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118,1</w:t>
            </w:r>
          </w:p>
        </w:tc>
      </w:tr>
    </w:tbl>
    <w:p>
      <w:pPr>
        <w:spacing w:before="0" w:after="0"/>
      </w:pPr>
    </w:p>
    <w:p>
      <w:r>
        <w:t xml:space="preserve">31 Rashodi poslovanja za zaposlene povećani su za 457.443,46</w:t>
      </w:r>
      <w:r>
        <w:br/>
      </w:r>
      <w:r>
        <w:t xml:space="preserve">  eur i povećani su za 18,1  %.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201.852,02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144.329,49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71,5</w:t>
            </w:r>
          </w:p>
        </w:tc>
      </w:tr>
    </w:tbl>
    <w:p>
      <w:pPr>
        <w:spacing w:before="0" w:after="0"/>
      </w:pPr>
    </w:p>
    <w:p>
      <w:r>
        <w:t xml:space="preserve">32 Materijalni rashodi iznose 144.329,49 eur i smanjeni su za  28,5 %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Financijski rashodi (šifre 341+342+343)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258,99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255,62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98,7</w:t>
            </w:r>
          </w:p>
        </w:tc>
      </w:tr>
    </w:tbl>
    <w:p>
      <w:pPr>
        <w:spacing w:before="0" w:after="0"/>
      </w:pPr>
    </w:p>
    <w:p>
      <w:r>
        <w:t xml:space="preserve">34 Financijski rashodi su 255,62 eur.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Višak prihoda i primitaka raspoloživ u sljedećem razdoblju (šifre X005 + '9221-9222' - Y005 - '9222-9221')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X006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76.121,35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113.782,30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149,5</w:t>
            </w:r>
          </w:p>
        </w:tc>
      </w:tr>
    </w:tbl>
    <w:p>
      <w:pPr>
        <w:spacing w:before="0" w:after="0"/>
      </w:pPr>
    </w:p>
    <w:p>
      <w:r>
        <w:t xml:space="preserve">Višak prihoda i primitaka raspoloživ u sljedećem razdoblju iznosi 113.782,30</w:t>
      </w:r>
      <w:r>
        <w:br/>
      </w:r>
      <w:r>
        <w:t xml:space="preserve"> 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Prosječan broj zaposlenih kod korisnika na osnovi stanja na početku i na kraju izvještajnog razdoblja (cijeli broj)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112,5</w:t>
            </w:r>
          </w:p>
        </w:tc>
      </w:tr>
    </w:tbl>
    <w:p>
      <w:pPr>
        <w:spacing w:before="0" w:after="0"/>
      </w:pPr>
    </w:p>
    <w:p>
      <w:r>
        <w:t xml:space="preserve">Prosječan broj zaposlenih je 36 i povećao se u odnosu na prošlu godinu.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Prosječan broj zaposlenih kod korisnika na osnovi sati rada (cijeli broj)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112,5</w:t>
            </w:r>
          </w:p>
        </w:tc>
      </w:tr>
    </w:tbl>
    <w:p>
      <w:pPr>
        <w:spacing w:before="0" w:after="0"/>
      </w:pPr>
    </w:p>
    <w:p>
      <w:r>
        <w:t xml:space="preserve">Prosječan broj zaposlenih je 36 i povećao se u odnosu na prošlu godinu.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Nema dospjelih obveza. 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38899c6b244b68" /></Relationships>
</file>